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73" w:rsidRDefault="00571273" w:rsidP="0057127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14FF">
        <w:rPr>
          <w:rStyle w:val="FontStyle19"/>
          <w:rFonts w:ascii="Calibri" w:hAnsi="Calibri" w:cs="Arial"/>
          <w:b/>
          <w:u w:val="single"/>
        </w:rPr>
        <w:t>ΥΠΟΔΕΙΓΜΑ ΟΙΚΟΝΟΜΙΚΗΣ ΠΡΟΣΦΟΡΑΣ</w:t>
      </w:r>
    </w:p>
    <w:tbl>
      <w:tblPr>
        <w:tblW w:w="10401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036"/>
        <w:gridCol w:w="1134"/>
        <w:gridCol w:w="1134"/>
        <w:gridCol w:w="1134"/>
        <w:gridCol w:w="1985"/>
        <w:gridCol w:w="2266"/>
      </w:tblGrid>
      <w:tr w:rsidR="00571273" w:rsidRPr="00D5329F" w:rsidTr="00571273">
        <w:trPr>
          <w:trHeight w:val="3625"/>
        </w:trPr>
        <w:tc>
          <w:tcPr>
            <w:tcW w:w="1712" w:type="dxa"/>
          </w:tcPr>
          <w:p w:rsidR="00571273" w:rsidRPr="00D5329F" w:rsidRDefault="00571273" w:rsidP="00542535">
            <w:pPr>
              <w:jc w:val="center"/>
              <w:rPr>
                <w:rFonts w:ascii="Arial" w:hAnsi="Arial" w:cs="Arial"/>
                <w:i/>
                <w:sz w:val="18"/>
                <w:szCs w:val="20"/>
                <w:highlight w:val="yellow"/>
              </w:rPr>
            </w:pPr>
          </w:p>
        </w:tc>
        <w:tc>
          <w:tcPr>
            <w:tcW w:w="8689" w:type="dxa"/>
            <w:gridSpan w:val="6"/>
          </w:tcPr>
          <w:p w:rsidR="00571273" w:rsidRPr="00D5329F" w:rsidRDefault="00571273" w:rsidP="00542535">
            <w:pPr>
              <w:jc w:val="center"/>
              <w:rPr>
                <w:rFonts w:ascii="Arial" w:hAnsi="Arial" w:cs="Arial"/>
                <w:i/>
                <w:sz w:val="18"/>
                <w:szCs w:val="20"/>
                <w:highlight w:val="yellow"/>
              </w:rPr>
            </w:pPr>
            <w:r w:rsidRPr="00D5329F">
              <w:rPr>
                <w:rFonts w:ascii="Arial" w:hAnsi="Arial" w:cs="Arial"/>
                <w:i/>
                <w:sz w:val="18"/>
                <w:szCs w:val="20"/>
                <w:highlight w:val="yellow"/>
              </w:rPr>
              <w:t xml:space="preserve"> </w:t>
            </w:r>
          </w:p>
          <w:p w:rsidR="00571273" w:rsidRPr="00D5329F" w:rsidRDefault="00571273" w:rsidP="00542535">
            <w:pPr>
              <w:tabs>
                <w:tab w:val="left" w:pos="48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85C62">
              <w:rPr>
                <w:rFonts w:ascii="Calibri" w:hAnsi="Calibri" w:cs="Arial"/>
                <w:b/>
                <w:sz w:val="22"/>
                <w:szCs w:val="22"/>
              </w:rPr>
              <w:t>«Διενέργεια εργαστηριακών αναλύσεων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για την περίοδο 2018-19,</w:t>
            </w:r>
            <w:r w:rsidRPr="00785C62">
              <w:rPr>
                <w:rFonts w:ascii="Calibri" w:hAnsi="Calibri" w:cs="Arial"/>
                <w:b/>
                <w:sz w:val="22"/>
                <w:szCs w:val="22"/>
              </w:rPr>
              <w:t xml:space="preserve"> για τον έλεγχο της ποιότητας των υδάτων (πόσιμου νερού δικτύων ύδρευσης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, πάγου και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παγοκύβων</w:t>
            </w:r>
            <w:proofErr w:type="spellEnd"/>
            <w:r w:rsidRPr="00785C62">
              <w:rPr>
                <w:rFonts w:ascii="Calibri" w:hAnsi="Calibri" w:cs="Arial"/>
                <w:b/>
                <w:sz w:val="22"/>
                <w:szCs w:val="22"/>
              </w:rPr>
              <w:t xml:space="preserve">), εμφιαλωμένων νερών (από το εμπόριο και έλεγχος εμφιαλωτηρίων), θαλασσινών νερών, κολυμβητικών δεξαμενών, ανίχνευσης βακτηριδίου της </w:t>
            </w:r>
            <w:proofErr w:type="spellStart"/>
            <w:r w:rsidRPr="00FC7089">
              <w:rPr>
                <w:rFonts w:ascii="Calibri" w:hAnsi="Calibri" w:cs="Arial"/>
                <w:b/>
                <w:i/>
                <w:sz w:val="22"/>
                <w:szCs w:val="22"/>
              </w:rPr>
              <w:t>legionella</w:t>
            </w:r>
            <w:proofErr w:type="spellEnd"/>
            <w:r w:rsidRPr="00FC708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C7089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spp</w:t>
            </w:r>
            <w:proofErr w:type="spellEnd"/>
            <w:r w:rsidRPr="00FC708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85C62">
              <w:rPr>
                <w:rFonts w:ascii="Calibri" w:hAnsi="Calibri" w:cs="Arial"/>
                <w:b/>
                <w:sz w:val="22"/>
                <w:szCs w:val="22"/>
              </w:rPr>
              <w:t xml:space="preserve">από συστήματα κλιματισμού και συστημάτων ύδρευσης κτιριακών συγκροτημάτων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ανά περιφερειακή</w:t>
            </w:r>
            <w:r w:rsidRPr="008667BF">
              <w:rPr>
                <w:rFonts w:ascii="Calibri" w:hAnsi="Calibri" w:cs="Arial"/>
                <w:b/>
                <w:sz w:val="22"/>
                <w:szCs w:val="22"/>
              </w:rPr>
              <w:t xml:space="preserve"> ενότη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τα της Περιφέρειας Δυτικής Ελλάδας</w:t>
            </w:r>
            <w:r w:rsidRPr="008667BF">
              <w:rPr>
                <w:rFonts w:ascii="Calibri" w:hAnsi="Calibri" w:cs="Arial"/>
                <w:b/>
                <w:sz w:val="22"/>
                <w:szCs w:val="22"/>
              </w:rPr>
              <w:t>, με απευθείας ανάθεση με κριτήριο κατακύρωσης τη χαμηλότερη τιμή, κατόπιν συλλογής προσφορών, δαπάνης μέχρι του ποσού διενέργεια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ς δαπάνης μέχρι του ποσού των 24.800,00€ συμπεριλαμβανομένου  ΦΠΑ» </w:t>
            </w:r>
            <w:r w:rsidRPr="005818A2">
              <w:rPr>
                <w:rFonts w:ascii="Calibri" w:hAnsi="Calibri" w:cs="Arial"/>
                <w:b/>
                <w:sz w:val="22"/>
                <w:szCs w:val="22"/>
              </w:rPr>
              <w:t xml:space="preserve">σύμφωνα με τα οριζόμενα </w:t>
            </w:r>
            <w:r w:rsidRPr="003D0341">
              <w:rPr>
                <w:rFonts w:ascii="Calibri" w:hAnsi="Calibri" w:cs="Arial"/>
                <w:b/>
                <w:sz w:val="22"/>
                <w:szCs w:val="22"/>
                <w:u w:val="single"/>
              </w:rPr>
              <w:t>στις τεχνικές π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ροδιαγραφές του Παραρτήματος Β’</w:t>
            </w:r>
            <w:r w:rsidRPr="003D0341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571273" w:rsidRPr="00CB1DC7" w:rsidTr="00571273">
        <w:trPr>
          <w:trHeight w:val="365"/>
        </w:trPr>
        <w:tc>
          <w:tcPr>
            <w:tcW w:w="1712" w:type="dxa"/>
            <w:vMerge w:val="restart"/>
            <w:tcBorders>
              <w:top w:val="single" w:sz="4" w:space="0" w:color="auto"/>
            </w:tcBorders>
            <w:vAlign w:val="center"/>
          </w:tcPr>
          <w:p w:rsidR="00571273" w:rsidRPr="00156E39" w:rsidRDefault="00571273" w:rsidP="00542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6E39">
              <w:rPr>
                <w:rFonts w:asciiTheme="minorHAnsi" w:hAnsiTheme="minorHAnsi" w:cs="Arial"/>
                <w:sz w:val="22"/>
                <w:szCs w:val="22"/>
              </w:rPr>
              <w:t xml:space="preserve">ΠΕΡΙΓΡΑΦΗ </w:t>
            </w:r>
          </w:p>
          <w:p w:rsidR="00571273" w:rsidRPr="00CB1DC7" w:rsidRDefault="00571273" w:rsidP="0054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E39">
              <w:rPr>
                <w:rFonts w:asciiTheme="minorHAnsi" w:hAnsiTheme="minorHAnsi" w:cs="Arial"/>
                <w:sz w:val="22"/>
                <w:szCs w:val="22"/>
              </w:rPr>
              <w:t>ΔΕΙΓΜΑΤΟΣ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571273" w:rsidRPr="00156E39" w:rsidRDefault="00571273" w:rsidP="0054253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6E39">
              <w:rPr>
                <w:rFonts w:asciiTheme="minorHAnsi" w:hAnsiTheme="minorHAnsi" w:cs="Arial"/>
                <w:sz w:val="18"/>
                <w:szCs w:val="18"/>
              </w:rPr>
              <w:t>Π.Ε ΑΧΑΙΑΣ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1273" w:rsidRPr="00156E39" w:rsidRDefault="00571273" w:rsidP="0054253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6E39">
              <w:rPr>
                <w:rFonts w:asciiTheme="minorHAnsi" w:hAnsiTheme="minorHAnsi" w:cs="Arial"/>
                <w:sz w:val="18"/>
                <w:szCs w:val="18"/>
              </w:rPr>
              <w:t>Π.Ε. ΑΙΤ/ΝΙΑΣ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1273" w:rsidRPr="00156E39" w:rsidRDefault="00571273" w:rsidP="0054253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6E39">
              <w:rPr>
                <w:rFonts w:asciiTheme="minorHAnsi" w:hAnsiTheme="minorHAnsi" w:cs="Arial"/>
                <w:sz w:val="18"/>
                <w:szCs w:val="18"/>
              </w:rPr>
              <w:t>Π.Ε. ΗΛΕΙΑΣ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273" w:rsidRPr="00156E39" w:rsidRDefault="00571273" w:rsidP="00542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571273" w:rsidRPr="00156E39" w:rsidRDefault="00571273" w:rsidP="00542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6E39">
              <w:rPr>
                <w:rFonts w:asciiTheme="minorHAnsi" w:hAnsiTheme="minorHAnsi" w:cs="Arial"/>
                <w:sz w:val="22"/>
                <w:szCs w:val="22"/>
              </w:rPr>
              <w:t>ΠΡΟΣΦΕΡΟΜΕΝΗ</w:t>
            </w:r>
          </w:p>
          <w:p w:rsidR="00571273" w:rsidRDefault="00571273" w:rsidP="00542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6E39">
              <w:rPr>
                <w:rFonts w:asciiTheme="minorHAnsi" w:hAnsiTheme="minorHAnsi" w:cs="Arial"/>
                <w:sz w:val="22"/>
                <w:szCs w:val="22"/>
              </w:rPr>
              <w:t xml:space="preserve"> ΤΙΜΗ</w:t>
            </w:r>
          </w:p>
          <w:p w:rsidR="00571273" w:rsidRDefault="00571273" w:rsidP="00542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6E39">
              <w:rPr>
                <w:rFonts w:asciiTheme="minorHAnsi" w:hAnsiTheme="minorHAnsi" w:cs="Arial"/>
                <w:sz w:val="22"/>
                <w:szCs w:val="22"/>
              </w:rPr>
              <w:t xml:space="preserve"> ΑΝΑ ΔΕΙΓΜΑ  </w:t>
            </w:r>
          </w:p>
          <w:p w:rsidR="00571273" w:rsidRPr="00CB1DC7" w:rsidRDefault="00571273" w:rsidP="0054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E39">
              <w:rPr>
                <w:rFonts w:asciiTheme="minorHAnsi" w:hAnsiTheme="minorHAnsi" w:cs="Arial"/>
                <w:sz w:val="22"/>
                <w:szCs w:val="22"/>
              </w:rPr>
              <w:t>(χωρίς ΦΠΑ)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</w:tcPr>
          <w:p w:rsidR="00571273" w:rsidRPr="003B426A" w:rsidRDefault="00571273" w:rsidP="00542535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ΣΥΝΟΛΙΚΗ </w:t>
            </w:r>
            <w:r w:rsidRPr="003B426A">
              <w:rPr>
                <w:rFonts w:asciiTheme="minorHAnsi" w:hAnsiTheme="minorHAnsi" w:cs="Arial"/>
                <w:sz w:val="22"/>
                <w:szCs w:val="22"/>
              </w:rPr>
              <w:t>ΠΡΟΣΦΕΡΟΜΕΝΗ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ΤΙΜΗ</w:t>
            </w:r>
          </w:p>
          <w:p w:rsidR="00571273" w:rsidRPr="003B426A" w:rsidRDefault="00571273" w:rsidP="00542535">
            <w:pPr>
              <w:jc w:val="center"/>
              <w:rPr>
                <w:rFonts w:cs="Arial"/>
              </w:rPr>
            </w:pPr>
            <w:r w:rsidRPr="003B426A">
              <w:rPr>
                <w:rFonts w:asciiTheme="minorHAnsi" w:hAnsiTheme="minorHAnsi" w:cs="Arial"/>
                <w:sz w:val="22"/>
                <w:szCs w:val="22"/>
              </w:rPr>
              <w:t>(χωρίς ΦΠΑ)</w:t>
            </w:r>
          </w:p>
        </w:tc>
      </w:tr>
      <w:tr w:rsidR="00571273" w:rsidRPr="00CB1DC7" w:rsidTr="00571273">
        <w:trPr>
          <w:trHeight w:val="364"/>
        </w:trPr>
        <w:tc>
          <w:tcPr>
            <w:tcW w:w="1712" w:type="dxa"/>
            <w:vMerge/>
            <w:vAlign w:val="center"/>
          </w:tcPr>
          <w:p w:rsidR="00571273" w:rsidRDefault="00571273" w:rsidP="0054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571273" w:rsidRPr="00A7658A" w:rsidRDefault="00571273" w:rsidP="0054253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58A">
              <w:rPr>
                <w:rFonts w:asciiTheme="minorHAnsi" w:hAnsiTheme="minorHAnsi" w:cs="Arial"/>
                <w:sz w:val="16"/>
                <w:szCs w:val="16"/>
              </w:rPr>
              <w:t>ΑΡΙΘΜΟΣ ΔΕΙΓΜΑΤΩΝ</w:t>
            </w:r>
          </w:p>
        </w:tc>
        <w:tc>
          <w:tcPr>
            <w:tcW w:w="1134" w:type="dxa"/>
            <w:vAlign w:val="center"/>
          </w:tcPr>
          <w:p w:rsidR="00571273" w:rsidRPr="00A7658A" w:rsidRDefault="00571273" w:rsidP="0054253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58A">
              <w:rPr>
                <w:rFonts w:asciiTheme="minorHAnsi" w:hAnsiTheme="minorHAnsi" w:cs="Arial"/>
                <w:sz w:val="16"/>
                <w:szCs w:val="16"/>
              </w:rPr>
              <w:t>ΑΡΙΘΜΟΣ ΔΕΙΓΜΑΤΩΝ</w:t>
            </w:r>
          </w:p>
        </w:tc>
        <w:tc>
          <w:tcPr>
            <w:tcW w:w="1134" w:type="dxa"/>
            <w:vAlign w:val="center"/>
          </w:tcPr>
          <w:p w:rsidR="00571273" w:rsidRPr="00A7658A" w:rsidRDefault="00571273" w:rsidP="0054253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58A">
              <w:rPr>
                <w:rFonts w:asciiTheme="minorHAnsi" w:hAnsiTheme="minorHAnsi" w:cs="Arial"/>
                <w:sz w:val="16"/>
                <w:szCs w:val="16"/>
              </w:rPr>
              <w:t>ΑΡΙΘΜΟΣ ΔΕΙΓΜΑΤΩΝ</w:t>
            </w:r>
          </w:p>
        </w:tc>
        <w:tc>
          <w:tcPr>
            <w:tcW w:w="1134" w:type="dxa"/>
          </w:tcPr>
          <w:p w:rsidR="00571273" w:rsidRPr="00A7658A" w:rsidRDefault="00571273" w:rsidP="0054253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658A">
              <w:rPr>
                <w:rFonts w:asciiTheme="minorHAnsi" w:hAnsiTheme="minorHAnsi" w:cs="Arial"/>
                <w:sz w:val="18"/>
                <w:szCs w:val="18"/>
              </w:rPr>
              <w:t>ΣΥΝΟΛΟ ΔΕΙΓΜΑΤΩΝ</w:t>
            </w:r>
          </w:p>
        </w:tc>
        <w:tc>
          <w:tcPr>
            <w:tcW w:w="1985" w:type="dxa"/>
            <w:vMerge/>
          </w:tcPr>
          <w:p w:rsidR="00571273" w:rsidRPr="00CB1DC7" w:rsidRDefault="00571273" w:rsidP="00542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571273" w:rsidRDefault="00571273" w:rsidP="00542535"/>
        </w:tc>
      </w:tr>
      <w:tr w:rsidR="00571273" w:rsidRPr="00D5329F" w:rsidTr="00571273">
        <w:trPr>
          <w:trHeight w:val="698"/>
        </w:trPr>
        <w:tc>
          <w:tcPr>
            <w:tcW w:w="1712" w:type="dxa"/>
            <w:vAlign w:val="center"/>
          </w:tcPr>
          <w:p w:rsidR="00571273" w:rsidRPr="00CB1DC7" w:rsidRDefault="00571273" w:rsidP="00542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πόσιμου νερού  ύδρευσης*</w:t>
            </w:r>
          </w:p>
        </w:tc>
        <w:tc>
          <w:tcPr>
            <w:tcW w:w="1036" w:type="dxa"/>
          </w:tcPr>
          <w:p w:rsidR="00571273" w:rsidRPr="005168F4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5168F4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5168F4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5168F4" w:rsidRDefault="00571273" w:rsidP="00542535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571273" w:rsidRPr="005168F4" w:rsidRDefault="00571273" w:rsidP="00542535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571273" w:rsidRPr="005168F4" w:rsidRDefault="00571273" w:rsidP="00542535">
            <w:pPr>
              <w:rPr>
                <w:highlight w:val="yellow"/>
              </w:rPr>
            </w:pPr>
          </w:p>
        </w:tc>
      </w:tr>
      <w:tr w:rsidR="00571273" w:rsidRPr="00D5329F" w:rsidTr="00571273">
        <w:trPr>
          <w:trHeight w:val="698"/>
        </w:trPr>
        <w:tc>
          <w:tcPr>
            <w:tcW w:w="1712" w:type="dxa"/>
            <w:vAlign w:val="center"/>
          </w:tcPr>
          <w:p w:rsidR="00571273" w:rsidRPr="00CB1DC7" w:rsidRDefault="00571273" w:rsidP="00542535">
            <w:pPr>
              <w:rPr>
                <w:rFonts w:ascii="Arial" w:hAnsi="Arial" w:cs="Arial"/>
                <w:sz w:val="22"/>
                <w:szCs w:val="22"/>
              </w:rPr>
            </w:pPr>
            <w:r w:rsidRPr="00785C62">
              <w:rPr>
                <w:rFonts w:ascii="Calibri" w:hAnsi="Calibri" w:cs="Arial"/>
                <w:b/>
                <w:sz w:val="22"/>
                <w:szCs w:val="22"/>
              </w:rPr>
              <w:t xml:space="preserve">εμφιαλωμένων νερών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85C62">
              <w:rPr>
                <w:rFonts w:ascii="Calibri" w:hAnsi="Calibri" w:cs="Arial"/>
                <w:b/>
                <w:sz w:val="22"/>
                <w:szCs w:val="22"/>
              </w:rPr>
              <w:t>(από το εμπόριο και έλεγχος εμφιαλωτηρίων)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6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</w:tr>
      <w:tr w:rsidR="00571273" w:rsidRPr="00D5329F" w:rsidTr="00571273">
        <w:trPr>
          <w:trHeight w:val="698"/>
        </w:trPr>
        <w:tc>
          <w:tcPr>
            <w:tcW w:w="1712" w:type="dxa"/>
            <w:vAlign w:val="center"/>
          </w:tcPr>
          <w:p w:rsidR="00571273" w:rsidRPr="00CB1DC7" w:rsidRDefault="00571273" w:rsidP="00542535">
            <w:pPr>
              <w:rPr>
                <w:rFonts w:ascii="Arial" w:hAnsi="Arial" w:cs="Arial"/>
                <w:sz w:val="22"/>
                <w:szCs w:val="22"/>
              </w:rPr>
            </w:pPr>
            <w:r w:rsidRPr="00785C62">
              <w:rPr>
                <w:rFonts w:ascii="Calibri" w:hAnsi="Calibri" w:cs="Arial"/>
                <w:b/>
                <w:sz w:val="22"/>
                <w:szCs w:val="22"/>
              </w:rPr>
              <w:t>θαλασσινών νερών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36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</w:tr>
      <w:tr w:rsidR="00571273" w:rsidRPr="00D5329F" w:rsidTr="00571273">
        <w:trPr>
          <w:trHeight w:val="698"/>
        </w:trPr>
        <w:tc>
          <w:tcPr>
            <w:tcW w:w="1712" w:type="dxa"/>
            <w:vAlign w:val="center"/>
          </w:tcPr>
          <w:p w:rsidR="00571273" w:rsidRPr="00CB1DC7" w:rsidRDefault="00571273" w:rsidP="00542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νερού </w:t>
            </w:r>
            <w:r w:rsidRPr="00785C62">
              <w:rPr>
                <w:rFonts w:ascii="Calibri" w:hAnsi="Calibri" w:cs="Arial"/>
                <w:b/>
                <w:sz w:val="22"/>
                <w:szCs w:val="22"/>
              </w:rPr>
              <w:t>κολυμβητικών δεξαμενών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36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</w:tr>
      <w:tr w:rsidR="00571273" w:rsidRPr="00D5329F" w:rsidTr="00571273">
        <w:trPr>
          <w:trHeight w:val="698"/>
        </w:trPr>
        <w:tc>
          <w:tcPr>
            <w:tcW w:w="1712" w:type="dxa"/>
            <w:vAlign w:val="center"/>
          </w:tcPr>
          <w:p w:rsidR="00571273" w:rsidRPr="00CB1DC7" w:rsidRDefault="00571273" w:rsidP="00542535">
            <w:pPr>
              <w:rPr>
                <w:rFonts w:ascii="Arial" w:hAnsi="Arial" w:cs="Arial"/>
                <w:sz w:val="22"/>
                <w:szCs w:val="22"/>
              </w:rPr>
            </w:pPr>
            <w:r w:rsidRPr="00785C62">
              <w:rPr>
                <w:rFonts w:ascii="Calibri" w:hAnsi="Calibri" w:cs="Arial"/>
                <w:b/>
                <w:sz w:val="22"/>
                <w:szCs w:val="22"/>
              </w:rPr>
              <w:t xml:space="preserve">ανίχνευσης </w:t>
            </w:r>
            <w:proofErr w:type="spellStart"/>
            <w:r w:rsidRPr="00FC7089">
              <w:rPr>
                <w:rFonts w:ascii="Calibri" w:hAnsi="Calibri" w:cs="Arial"/>
                <w:b/>
                <w:i/>
                <w:sz w:val="22"/>
                <w:szCs w:val="22"/>
              </w:rPr>
              <w:t>legionella</w:t>
            </w:r>
            <w:proofErr w:type="spellEnd"/>
            <w:r w:rsidRPr="00FC708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C7089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spp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36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</w:tr>
      <w:tr w:rsidR="00571273" w:rsidRPr="00D5329F" w:rsidTr="00571273">
        <w:trPr>
          <w:trHeight w:val="698"/>
        </w:trPr>
        <w:tc>
          <w:tcPr>
            <w:tcW w:w="1712" w:type="dxa"/>
            <w:vAlign w:val="center"/>
          </w:tcPr>
          <w:p w:rsidR="00571273" w:rsidRPr="0037675B" w:rsidRDefault="00571273" w:rsidP="005425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675B">
              <w:rPr>
                <w:rFonts w:asciiTheme="minorHAnsi" w:hAnsiTheme="minorHAnsi" w:cs="Arial"/>
                <w:b/>
                <w:sz w:val="22"/>
                <w:szCs w:val="22"/>
              </w:rPr>
              <w:t>Συνολική προσφερόμενη τιμή χωρίς ΦΠΑ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71273" w:rsidRPr="00D5329F" w:rsidRDefault="00571273" w:rsidP="00542535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71273" w:rsidRPr="004234F3" w:rsidRDefault="00571273" w:rsidP="0054253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71273" w:rsidRPr="004234F3" w:rsidRDefault="00571273" w:rsidP="00542535">
            <w:pPr>
              <w:rPr>
                <w:highlight w:val="lightGray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1273" w:rsidRPr="004234F3" w:rsidRDefault="00571273" w:rsidP="00542535">
            <w:pPr>
              <w:rPr>
                <w:highlight w:val="lightGray"/>
              </w:rPr>
            </w:pPr>
          </w:p>
        </w:tc>
        <w:tc>
          <w:tcPr>
            <w:tcW w:w="2266" w:type="dxa"/>
            <w:shd w:val="clear" w:color="auto" w:fill="auto"/>
          </w:tcPr>
          <w:p w:rsidR="00571273" w:rsidRPr="004234F3" w:rsidRDefault="00571273" w:rsidP="00542535">
            <w:pPr>
              <w:rPr>
                <w:highlight w:val="lightGray"/>
              </w:rPr>
            </w:pPr>
          </w:p>
        </w:tc>
      </w:tr>
      <w:tr w:rsidR="00571273" w:rsidRPr="00D5329F" w:rsidTr="00571273">
        <w:trPr>
          <w:trHeight w:val="287"/>
        </w:trPr>
        <w:tc>
          <w:tcPr>
            <w:tcW w:w="1712" w:type="dxa"/>
            <w:vAlign w:val="center"/>
          </w:tcPr>
          <w:p w:rsidR="00571273" w:rsidRPr="0037675B" w:rsidRDefault="00571273" w:rsidP="005425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675B">
              <w:rPr>
                <w:rFonts w:asciiTheme="minorHAnsi" w:hAnsiTheme="minorHAnsi" w:cs="Arial"/>
                <w:b/>
                <w:sz w:val="22"/>
                <w:szCs w:val="22"/>
              </w:rPr>
              <w:t>ΦΠΑ  24%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571273" w:rsidRPr="00D5329F" w:rsidRDefault="00571273" w:rsidP="005425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1273" w:rsidRPr="00D5329F" w:rsidRDefault="00571273" w:rsidP="005425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71273" w:rsidRPr="004234F3" w:rsidRDefault="00571273" w:rsidP="005425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71273" w:rsidRPr="004234F3" w:rsidRDefault="00571273" w:rsidP="005425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1273" w:rsidRPr="004234F3" w:rsidRDefault="00571273" w:rsidP="005425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266" w:type="dxa"/>
            <w:shd w:val="clear" w:color="auto" w:fill="auto"/>
          </w:tcPr>
          <w:p w:rsidR="00571273" w:rsidRPr="004234F3" w:rsidRDefault="00571273" w:rsidP="005425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lightGray"/>
                <w:u w:val="single"/>
              </w:rPr>
            </w:pPr>
          </w:p>
        </w:tc>
      </w:tr>
      <w:tr w:rsidR="00571273" w:rsidRPr="00D5329F" w:rsidTr="00571273">
        <w:trPr>
          <w:trHeight w:val="287"/>
        </w:trPr>
        <w:tc>
          <w:tcPr>
            <w:tcW w:w="1712" w:type="dxa"/>
            <w:vAlign w:val="center"/>
          </w:tcPr>
          <w:p w:rsidR="00571273" w:rsidRPr="0037675B" w:rsidRDefault="00571273" w:rsidP="005425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75B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571273" w:rsidRPr="00CB1DC7" w:rsidRDefault="00571273" w:rsidP="00542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1273" w:rsidRPr="00CB1DC7" w:rsidRDefault="00571273" w:rsidP="00542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71273" w:rsidRPr="00D5329F" w:rsidRDefault="00571273" w:rsidP="005425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71273" w:rsidRPr="00D5329F" w:rsidRDefault="00571273" w:rsidP="005425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1273" w:rsidRPr="00D5329F" w:rsidRDefault="00571273" w:rsidP="005425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6" w:type="dxa"/>
          </w:tcPr>
          <w:p w:rsidR="00571273" w:rsidRPr="00D5329F" w:rsidRDefault="00571273" w:rsidP="005425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571273" w:rsidRPr="00E475FF" w:rsidRDefault="00571273" w:rsidP="00571273">
      <w:pPr>
        <w:spacing w:line="276" w:lineRule="auto"/>
        <w:ind w:left="-1134"/>
        <w:jc w:val="both"/>
        <w:rPr>
          <w:rFonts w:ascii="Calibri" w:hAnsi="Calibri" w:cs="Arial"/>
          <w:b/>
          <w:sz w:val="22"/>
          <w:szCs w:val="22"/>
        </w:rPr>
      </w:pPr>
      <w:r w:rsidRPr="00E475FF">
        <w:rPr>
          <w:rFonts w:ascii="Calibri" w:hAnsi="Calibri" w:cs="Arial"/>
          <w:b/>
          <w:sz w:val="22"/>
          <w:szCs w:val="22"/>
        </w:rPr>
        <w:t xml:space="preserve">*Στα δείγματα πόσιμου νερού συμπεριλαμβάνονται δείγματα νερού δημοτικών δικτύων ύδρευσης, ιδιωτικών δικτύων επιχειρήσεων τροφίμων, βυτιοφόρων μεταπώλησης ποσίμου και δείγματα πάγου και </w:t>
      </w:r>
      <w:proofErr w:type="spellStart"/>
      <w:r w:rsidRPr="00E475FF">
        <w:rPr>
          <w:rFonts w:ascii="Calibri" w:hAnsi="Calibri" w:cs="Arial"/>
          <w:b/>
          <w:sz w:val="22"/>
          <w:szCs w:val="22"/>
        </w:rPr>
        <w:t>παγοκύβων</w:t>
      </w:r>
      <w:proofErr w:type="spellEnd"/>
      <w:r w:rsidRPr="00E475FF">
        <w:rPr>
          <w:rFonts w:ascii="Calibri" w:hAnsi="Calibri" w:cs="Arial"/>
          <w:b/>
          <w:sz w:val="22"/>
          <w:szCs w:val="22"/>
        </w:rPr>
        <w:t>.</w:t>
      </w:r>
    </w:p>
    <w:p w:rsidR="00571273" w:rsidRPr="000D14FF" w:rsidRDefault="00571273" w:rsidP="00571273">
      <w:pPr>
        <w:rPr>
          <w:rFonts w:ascii="Calibri" w:hAnsi="Calibri" w:cs="Arial"/>
          <w:b/>
          <w:sz w:val="22"/>
          <w:szCs w:val="22"/>
        </w:rPr>
      </w:pPr>
    </w:p>
    <w:p w:rsidR="00571273" w:rsidRPr="000D14FF" w:rsidRDefault="00571273" w:rsidP="00571273">
      <w:pPr>
        <w:rPr>
          <w:rFonts w:ascii="Calibri" w:hAnsi="Calibri" w:cs="Arial"/>
          <w:b/>
          <w:sz w:val="22"/>
          <w:szCs w:val="22"/>
        </w:rPr>
      </w:pPr>
      <w:r w:rsidRPr="000D14FF">
        <w:rPr>
          <w:rFonts w:ascii="Calibri" w:hAnsi="Calibri" w:cs="Arial"/>
          <w:b/>
          <w:sz w:val="22"/>
          <w:szCs w:val="22"/>
        </w:rPr>
        <w:t>Ημερομηνία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</w:t>
      </w:r>
      <w:r w:rsidRPr="000D14FF">
        <w:rPr>
          <w:rFonts w:ascii="Calibri" w:hAnsi="Calibri" w:cs="Arial"/>
          <w:b/>
          <w:sz w:val="22"/>
          <w:szCs w:val="22"/>
        </w:rPr>
        <w:t xml:space="preserve">Υπογραφή και σφραγίδα  του </w:t>
      </w:r>
    </w:p>
    <w:p w:rsidR="00571273" w:rsidRPr="000D14FF" w:rsidRDefault="00571273" w:rsidP="00571273">
      <w:pPr>
        <w:ind w:left="5040" w:firstLine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</w:t>
      </w:r>
      <w:r w:rsidRPr="000D14FF">
        <w:rPr>
          <w:rFonts w:ascii="Calibri" w:hAnsi="Calibri" w:cs="Arial"/>
          <w:b/>
          <w:sz w:val="22"/>
          <w:szCs w:val="22"/>
        </w:rPr>
        <w:t>Νόμιμου εκπροσώπου</w:t>
      </w:r>
    </w:p>
    <w:p w:rsidR="00B703B2" w:rsidRDefault="00B703B2"/>
    <w:sectPr w:rsidR="00B703B2" w:rsidSect="0057127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1273"/>
    <w:rsid w:val="00571273"/>
    <w:rsid w:val="00B703B2"/>
    <w:rsid w:val="00C07F07"/>
    <w:rsid w:val="00C17CAA"/>
    <w:rsid w:val="00CC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5712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eadamo</dc:creator>
  <cp:keywords/>
  <dc:description/>
  <cp:lastModifiedBy>eadamo</cp:lastModifiedBy>
  <cp:revision>1</cp:revision>
  <dcterms:created xsi:type="dcterms:W3CDTF">2018-06-13T11:13:00Z</dcterms:created>
  <dcterms:modified xsi:type="dcterms:W3CDTF">2018-06-13T11:15:00Z</dcterms:modified>
</cp:coreProperties>
</file>